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ayout w:type="fixed"/>
        <w:tblLook w:val="04A0" w:firstRow="1" w:lastRow="0" w:firstColumn="1" w:lastColumn="0" w:noHBand="0" w:noVBand="1"/>
      </w:tblPr>
      <w:tblGrid>
        <w:gridCol w:w="1413"/>
        <w:gridCol w:w="9043"/>
      </w:tblGrid>
      <w:tr w:rsidR="00D51AC0" w:rsidRPr="00D51AC0" w:rsidTr="00D51AC0">
        <w:tc>
          <w:tcPr>
            <w:tcW w:w="1413" w:type="dxa"/>
          </w:tcPr>
          <w:p w:rsidR="00D51AC0" w:rsidRPr="00D51AC0" w:rsidRDefault="00D51AC0" w:rsidP="00D51AC0">
            <w:pPr>
              <w:jc w:val="center"/>
              <w:rPr>
                <w:rFonts w:ascii="Times New Roman" w:eastAsia="標楷體" w:hAnsi="Times New Roman" w:cs="Times New Roman" w:hint="eastAsia"/>
                <w:b/>
                <w:sz w:val="20"/>
                <w:szCs w:val="20"/>
              </w:rPr>
            </w:pPr>
            <w:r w:rsidRPr="00D51AC0">
              <w:rPr>
                <w:rFonts w:ascii="Times New Roman" w:eastAsia="標楷體" w:hAnsi="Times New Roman" w:cs="Times New Roman"/>
                <w:b/>
                <w:sz w:val="20"/>
                <w:szCs w:val="20"/>
              </w:rPr>
              <w:t>科目名稱</w:t>
            </w:r>
          </w:p>
        </w:tc>
        <w:tc>
          <w:tcPr>
            <w:tcW w:w="9043" w:type="dxa"/>
          </w:tcPr>
          <w:p w:rsidR="00D51AC0" w:rsidRPr="00D51AC0" w:rsidRDefault="00D51AC0">
            <w:pPr>
              <w:rPr>
                <w:rFonts w:ascii="Times New Roman" w:eastAsia="標楷體" w:hAnsi="Times New Roman" w:cs="Times New Roman"/>
                <w:b/>
                <w:szCs w:val="24"/>
              </w:rPr>
            </w:pPr>
            <w:r w:rsidRPr="00D51AC0">
              <w:rPr>
                <w:rFonts w:ascii="Times New Roman" w:eastAsia="標楷體" w:hAnsi="Times New Roman" w:cs="Times New Roman"/>
                <w:b/>
                <w:szCs w:val="24"/>
              </w:rPr>
              <w:t>運算思維與程式設計</w:t>
            </w:r>
          </w:p>
        </w:tc>
      </w:tr>
      <w:tr w:rsidR="00D51AC0" w:rsidRPr="00D51AC0" w:rsidTr="00D51AC0">
        <w:tc>
          <w:tcPr>
            <w:tcW w:w="1413" w:type="dxa"/>
          </w:tcPr>
          <w:p w:rsidR="00D51AC0" w:rsidRPr="00D51AC0" w:rsidRDefault="00D51AC0" w:rsidP="00D51AC0">
            <w:pPr>
              <w:jc w:val="center"/>
              <w:rPr>
                <w:rFonts w:ascii="Times New Roman" w:eastAsia="標楷體" w:hAnsi="Times New Roman" w:cs="Times New Roman"/>
                <w:b/>
                <w:sz w:val="20"/>
                <w:szCs w:val="20"/>
              </w:rPr>
            </w:pPr>
            <w:r w:rsidRPr="00D51AC0">
              <w:rPr>
                <w:rFonts w:ascii="Times New Roman" w:eastAsia="標楷體" w:hAnsi="Times New Roman" w:cs="Times New Roman"/>
                <w:b/>
                <w:sz w:val="20"/>
                <w:szCs w:val="20"/>
              </w:rPr>
              <w:t>教學目標</w:t>
            </w:r>
          </w:p>
          <w:p w:rsidR="00D51AC0" w:rsidRPr="00D51AC0" w:rsidRDefault="00D51AC0" w:rsidP="00D51AC0">
            <w:pPr>
              <w:jc w:val="center"/>
              <w:rPr>
                <w:rFonts w:ascii="Times New Roman" w:eastAsia="標楷體" w:hAnsi="Times New Roman" w:cs="Times New Roman"/>
                <w:b/>
                <w:sz w:val="20"/>
                <w:szCs w:val="20"/>
              </w:rPr>
            </w:pPr>
            <w:r w:rsidRPr="00D51AC0">
              <w:rPr>
                <w:rFonts w:ascii="Times New Roman" w:eastAsia="標楷體" w:hAnsi="Times New Roman" w:cs="Times New Roman"/>
                <w:b/>
                <w:sz w:val="20"/>
                <w:szCs w:val="20"/>
              </w:rPr>
              <w:t>Course Objectives</w:t>
            </w:r>
          </w:p>
        </w:tc>
        <w:tc>
          <w:tcPr>
            <w:tcW w:w="9043" w:type="dxa"/>
          </w:tcPr>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 xml:space="preserve">This lecture starts as a set of tutorials for the 1st year students in university level to learn essential skills of Computational Thinking (CT) and together with other important problem-solving skills via exploring some fundamental coding (programming) experiences. </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This course provides an opportunity for students to experience some of the elements of CT, including:</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1.</w:t>
            </w:r>
            <w:r w:rsidRPr="00D51AC0">
              <w:rPr>
                <w:rFonts w:ascii="Times New Roman" w:eastAsia="標楷體" w:hAnsi="Times New Roman" w:cs="Times New Roman"/>
                <w:szCs w:val="24"/>
              </w:rPr>
              <w:tab/>
              <w:t>Decomposition: Breaking down data, processes, or problems into smaller, manageable parts</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2.</w:t>
            </w:r>
            <w:r w:rsidRPr="00D51AC0">
              <w:rPr>
                <w:rFonts w:ascii="Times New Roman" w:eastAsia="標楷體" w:hAnsi="Times New Roman" w:cs="Times New Roman"/>
                <w:szCs w:val="24"/>
              </w:rPr>
              <w:tab/>
              <w:t>Pattern Recognition: Observing patterns, trends, and regularities in data</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3.</w:t>
            </w:r>
            <w:r w:rsidRPr="00D51AC0">
              <w:rPr>
                <w:rFonts w:ascii="Times New Roman" w:eastAsia="標楷體" w:hAnsi="Times New Roman" w:cs="Times New Roman"/>
                <w:szCs w:val="24"/>
              </w:rPr>
              <w:tab/>
              <w:t>Abstraction: Identifying the general principles that generate these patterns</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4.</w:t>
            </w:r>
            <w:r w:rsidRPr="00D51AC0">
              <w:rPr>
                <w:rFonts w:ascii="Times New Roman" w:eastAsia="標楷體" w:hAnsi="Times New Roman" w:cs="Times New Roman"/>
                <w:szCs w:val="24"/>
              </w:rPr>
              <w:tab/>
              <w:t>Algorithm Design: Developing the step by step instructions for solving this and similar problems</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This module is concerned with understanding how software is designed to solved problems and how thinking in this way can help structure and solve problems generally. Students will lean to program in Python as a tool to aid understanding algorithm design.</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課程的目標在培養學生具備【程式設計邏輯】及【解決問題的能力】。學生經由此課程的學習，將可以培訓出以下幾個重要的運算思維內涵運用能力：</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1.</w:t>
            </w:r>
            <w:r w:rsidRPr="00D51AC0">
              <w:rPr>
                <w:rFonts w:ascii="Times New Roman" w:eastAsia="標楷體" w:hAnsi="Times New Roman" w:cs="Times New Roman"/>
                <w:szCs w:val="24"/>
              </w:rPr>
              <w:tab/>
            </w:r>
            <w:r w:rsidRPr="00D51AC0">
              <w:rPr>
                <w:rFonts w:ascii="Times New Roman" w:eastAsia="標楷體" w:hAnsi="Times New Roman" w:cs="Times New Roman"/>
                <w:szCs w:val="24"/>
              </w:rPr>
              <w:t>問題分解：將資料、程序或問題拆解成較小或容易處理的部分。</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2.</w:t>
            </w:r>
            <w:r w:rsidRPr="00D51AC0">
              <w:rPr>
                <w:rFonts w:ascii="Times New Roman" w:eastAsia="標楷體" w:hAnsi="Times New Roman" w:cs="Times New Roman"/>
                <w:szCs w:val="24"/>
              </w:rPr>
              <w:tab/>
            </w:r>
            <w:r w:rsidRPr="00D51AC0">
              <w:rPr>
                <w:rFonts w:ascii="Times New Roman" w:eastAsia="標楷體" w:hAnsi="Times New Roman" w:cs="Times New Roman"/>
                <w:szCs w:val="24"/>
              </w:rPr>
              <w:t>樣式辨別：在資料中觀察樣式、趨勢或規則。</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3.</w:t>
            </w:r>
            <w:r w:rsidRPr="00D51AC0">
              <w:rPr>
                <w:rFonts w:ascii="Times New Roman" w:eastAsia="標楷體" w:hAnsi="Times New Roman" w:cs="Times New Roman"/>
                <w:szCs w:val="24"/>
              </w:rPr>
              <w:tab/>
            </w:r>
            <w:r w:rsidRPr="00D51AC0">
              <w:rPr>
                <w:rFonts w:ascii="Times New Roman" w:eastAsia="標楷體" w:hAnsi="Times New Roman" w:cs="Times New Roman"/>
                <w:szCs w:val="24"/>
              </w:rPr>
              <w:t>抽象化：識別出基本主要概念，以萃取出產生出樣式的相關資訊。</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4.</w:t>
            </w:r>
            <w:r w:rsidRPr="00D51AC0">
              <w:rPr>
                <w:rFonts w:ascii="Times New Roman" w:eastAsia="標楷體" w:hAnsi="Times New Roman" w:cs="Times New Roman"/>
                <w:szCs w:val="24"/>
              </w:rPr>
              <w:tab/>
            </w:r>
            <w:r w:rsidRPr="00D51AC0">
              <w:rPr>
                <w:rFonts w:ascii="Times New Roman" w:eastAsia="標楷體" w:hAnsi="Times New Roman" w:cs="Times New Roman"/>
                <w:szCs w:val="24"/>
              </w:rPr>
              <w:t>演算法設計：發展按序的指令以解決問題或完成類似的任務。</w:t>
            </w:r>
          </w:p>
          <w:p w:rsidR="00D51AC0" w:rsidRPr="00D51AC0" w:rsidRDefault="00D51AC0" w:rsidP="00D51AC0">
            <w:pPr>
              <w:rPr>
                <w:rFonts w:ascii="Times New Roman" w:eastAsia="標楷體" w:hAnsi="Times New Roman" w:cs="Times New Roman"/>
                <w:szCs w:val="24"/>
              </w:rPr>
            </w:pPr>
            <w:r w:rsidRPr="00D51AC0">
              <w:rPr>
                <w:rFonts w:ascii="Times New Roman" w:eastAsia="標楷體" w:hAnsi="Times New Roman" w:cs="Times New Roman"/>
                <w:szCs w:val="24"/>
              </w:rPr>
              <w:t>有關程式設計邏輯和演算法的學習將以</w:t>
            </w:r>
            <w:r w:rsidRPr="00D51AC0">
              <w:rPr>
                <w:rFonts w:ascii="Times New Roman" w:eastAsia="標楷體" w:hAnsi="Times New Roman" w:cs="Times New Roman"/>
                <w:szCs w:val="24"/>
              </w:rPr>
              <w:t>Python</w:t>
            </w:r>
            <w:r w:rsidRPr="00D51AC0">
              <w:rPr>
                <w:rFonts w:ascii="Times New Roman" w:eastAsia="標楷體" w:hAnsi="Times New Roman" w:cs="Times New Roman"/>
                <w:szCs w:val="24"/>
              </w:rPr>
              <w:t>程式語言作為學習的工具。</w:t>
            </w:r>
          </w:p>
        </w:tc>
      </w:tr>
      <w:tr w:rsidR="00D51AC0" w:rsidRPr="00D51AC0" w:rsidTr="00D51AC0">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授課方式</w:t>
            </w:r>
            <w:r w:rsidRPr="00D51AC0">
              <w:rPr>
                <w:rFonts w:ascii="Times New Roman" w:eastAsia="標楷體" w:hAnsi="Times New Roman" w:cs="Times New Roman"/>
                <w:b/>
                <w:kern w:val="0"/>
                <w:sz w:val="20"/>
                <w:szCs w:val="20"/>
              </w:rPr>
              <w:br/>
              <w:t>Approach to Instruction</w:t>
            </w:r>
          </w:p>
        </w:tc>
        <w:tc>
          <w:tcPr>
            <w:tcW w:w="9043" w:type="dxa"/>
            <w:vAlign w:val="center"/>
          </w:tcPr>
          <w:p w:rsidR="00D51AC0" w:rsidRPr="00D51AC0" w:rsidRDefault="00D51AC0" w:rsidP="00D51AC0">
            <w:pPr>
              <w:widowControl/>
              <w:adjustRightInd w:val="0"/>
              <w:snapToGrid w:val="0"/>
              <w:spacing w:line="240" w:lineRule="atLeast"/>
              <w:jc w:val="both"/>
              <w:rPr>
                <w:rFonts w:ascii="Times New Roman" w:eastAsia="標楷體" w:hAnsi="Times New Roman" w:cs="Times New Roman"/>
                <w:b/>
                <w:color w:val="000000"/>
                <w:kern w:val="0"/>
                <w:szCs w:val="24"/>
              </w:rPr>
            </w:pPr>
            <w:r w:rsidRPr="00D51AC0">
              <w:rPr>
                <w:rFonts w:ascii="Times New Roman" w:eastAsia="標楷體" w:hAnsi="Times New Roman" w:cs="Times New Roman"/>
                <w:szCs w:val="24"/>
              </w:rPr>
              <w:t>lectures</w:t>
            </w:r>
            <w:r w:rsidRPr="00D51AC0">
              <w:rPr>
                <w:rFonts w:ascii="Times New Roman" w:eastAsia="標楷體" w:hAnsi="Times New Roman" w:cs="Times New Roman"/>
                <w:szCs w:val="24"/>
              </w:rPr>
              <w:t>及</w:t>
            </w:r>
            <w:r w:rsidRPr="00D51AC0">
              <w:rPr>
                <w:rFonts w:ascii="Times New Roman" w:eastAsia="標楷體" w:hAnsi="Times New Roman" w:cs="Times New Roman"/>
                <w:szCs w:val="24"/>
              </w:rPr>
              <w:t>Practical exercises(</w:t>
            </w:r>
            <w:r w:rsidRPr="00D51AC0">
              <w:rPr>
                <w:rFonts w:ascii="Times New Roman" w:eastAsia="標楷體" w:hAnsi="Times New Roman" w:cs="Times New Roman"/>
                <w:szCs w:val="24"/>
              </w:rPr>
              <w:t>課堂講授，隨堂練習，作業演練</w:t>
            </w:r>
            <w:r w:rsidRPr="00D51AC0">
              <w:rPr>
                <w:rFonts w:ascii="Times New Roman" w:eastAsia="標楷體" w:hAnsi="Times New Roman" w:cs="Times New Roman"/>
                <w:szCs w:val="24"/>
              </w:rPr>
              <w:t>)</w:t>
            </w:r>
          </w:p>
        </w:tc>
      </w:tr>
      <w:tr w:rsidR="00D51AC0" w:rsidRPr="00D51AC0" w:rsidTr="00D51AC0">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成績評定</w:t>
            </w:r>
            <w:r w:rsidRPr="00D51AC0">
              <w:rPr>
                <w:rFonts w:ascii="Times New Roman" w:eastAsia="標楷體" w:hAnsi="Times New Roman" w:cs="Times New Roman"/>
                <w:b/>
                <w:kern w:val="0"/>
                <w:sz w:val="20"/>
                <w:szCs w:val="20"/>
              </w:rPr>
              <w:br/>
              <w:t>Grading</w:t>
            </w:r>
          </w:p>
        </w:tc>
        <w:tc>
          <w:tcPr>
            <w:tcW w:w="9043" w:type="dxa"/>
            <w:vAlign w:val="center"/>
          </w:tcPr>
          <w:p w:rsidR="00D51AC0" w:rsidRPr="00D51AC0" w:rsidRDefault="00D51AC0" w:rsidP="00D51AC0">
            <w:pPr>
              <w:widowControl/>
              <w:adjustRightInd w:val="0"/>
              <w:snapToGrid w:val="0"/>
              <w:spacing w:line="240" w:lineRule="atLeast"/>
              <w:jc w:val="both"/>
              <w:rPr>
                <w:rFonts w:ascii="Times New Roman" w:eastAsia="標楷體" w:hAnsi="Times New Roman" w:cs="Times New Roman"/>
                <w:color w:val="000000"/>
                <w:kern w:val="0"/>
                <w:szCs w:val="24"/>
              </w:rPr>
            </w:pPr>
            <w:r w:rsidRPr="00D51AC0">
              <w:rPr>
                <w:rFonts w:ascii="Times New Roman" w:eastAsia="標楷體" w:hAnsi="Times New Roman" w:cs="Times New Roman"/>
                <w:color w:val="000000"/>
                <w:kern w:val="0"/>
                <w:szCs w:val="24"/>
              </w:rPr>
              <w:t>平時成績</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出席率、上課表現和作業</w:t>
            </w:r>
            <w:r w:rsidRPr="00D51AC0">
              <w:rPr>
                <w:rFonts w:ascii="Times New Roman" w:eastAsia="標楷體" w:hAnsi="Times New Roman" w:cs="Times New Roman"/>
                <w:color w:val="000000"/>
                <w:kern w:val="0"/>
                <w:szCs w:val="24"/>
              </w:rPr>
              <w:t xml:space="preserve">):40%  </w:t>
            </w:r>
            <w:r w:rsidRPr="00D51AC0">
              <w:rPr>
                <w:rFonts w:ascii="Times New Roman" w:eastAsia="標楷體" w:hAnsi="Times New Roman" w:cs="Times New Roman"/>
                <w:color w:val="000000"/>
                <w:kern w:val="0"/>
                <w:szCs w:val="24"/>
              </w:rPr>
              <w:t>期中成績</w:t>
            </w:r>
            <w:r w:rsidRPr="00D51AC0">
              <w:rPr>
                <w:rFonts w:ascii="Times New Roman" w:eastAsia="標楷體" w:hAnsi="Times New Roman" w:cs="Times New Roman"/>
                <w:color w:val="000000"/>
                <w:kern w:val="0"/>
                <w:szCs w:val="24"/>
              </w:rPr>
              <w:t xml:space="preserve">:25%   </w:t>
            </w:r>
            <w:r w:rsidRPr="00D51AC0">
              <w:rPr>
                <w:rFonts w:ascii="Times New Roman" w:eastAsia="標楷體" w:hAnsi="Times New Roman" w:cs="Times New Roman"/>
                <w:color w:val="000000"/>
                <w:kern w:val="0"/>
                <w:szCs w:val="24"/>
              </w:rPr>
              <w:t>期末考</w:t>
            </w:r>
            <w:r w:rsidRPr="00D51AC0">
              <w:rPr>
                <w:rFonts w:ascii="Times New Roman" w:eastAsia="標楷體" w:hAnsi="Times New Roman" w:cs="Times New Roman"/>
                <w:color w:val="000000"/>
                <w:kern w:val="0"/>
                <w:szCs w:val="24"/>
              </w:rPr>
              <w:t>:35%</w:t>
            </w:r>
          </w:p>
          <w:p w:rsidR="00D51AC0" w:rsidRPr="00D51AC0" w:rsidRDefault="00D51AC0" w:rsidP="00D51AC0">
            <w:pPr>
              <w:widowControl/>
              <w:adjustRightInd w:val="0"/>
              <w:snapToGrid w:val="0"/>
              <w:spacing w:line="240" w:lineRule="atLeast"/>
              <w:ind w:left="397" w:hanging="397"/>
              <w:jc w:val="both"/>
              <w:rPr>
                <w:rFonts w:ascii="Times New Roman" w:eastAsia="標楷體" w:hAnsi="Times New Roman" w:cs="Times New Roman"/>
                <w:color w:val="000000"/>
                <w:kern w:val="0"/>
                <w:szCs w:val="24"/>
              </w:rPr>
            </w:pPr>
            <w:r w:rsidRPr="00D51AC0">
              <w:rPr>
                <w:rFonts w:ascii="Times New Roman" w:eastAsia="標楷體" w:hAnsi="Times New Roman" w:cs="Times New Roman"/>
                <w:color w:val="000000"/>
                <w:kern w:val="0"/>
                <w:szCs w:val="24"/>
              </w:rPr>
              <w:t>上課表現包括</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熱心教導同學</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學習大進步</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態度積極進取。</w:t>
            </w:r>
            <w:r w:rsidRPr="00D51AC0">
              <w:rPr>
                <w:rFonts w:ascii="Times New Roman" w:eastAsia="標楷體" w:hAnsi="Times New Roman" w:cs="Times New Roman"/>
                <w:color w:val="000000"/>
                <w:kern w:val="0"/>
                <w:szCs w:val="24"/>
              </w:rPr>
              <w:t xml:space="preserve"> </w:t>
            </w:r>
          </w:p>
          <w:p w:rsidR="00D51AC0" w:rsidRPr="00D51AC0" w:rsidRDefault="00D51AC0" w:rsidP="00D51AC0">
            <w:pPr>
              <w:widowControl/>
              <w:adjustRightInd w:val="0"/>
              <w:snapToGrid w:val="0"/>
              <w:spacing w:line="240" w:lineRule="atLeast"/>
              <w:ind w:left="397" w:hanging="397"/>
              <w:jc w:val="both"/>
              <w:rPr>
                <w:rFonts w:ascii="Times New Roman" w:eastAsia="標楷體" w:hAnsi="Times New Roman" w:cs="Times New Roman"/>
                <w:color w:val="000000"/>
                <w:kern w:val="0"/>
                <w:szCs w:val="24"/>
              </w:rPr>
            </w:pPr>
            <w:r w:rsidRPr="00D51AC0">
              <w:rPr>
                <w:rFonts w:ascii="Times New Roman" w:eastAsia="標楷體" w:hAnsi="Times New Roman" w:cs="Times New Roman"/>
                <w:color w:val="000000"/>
                <w:kern w:val="0"/>
                <w:szCs w:val="24"/>
              </w:rPr>
              <w:t>特別必須注意者：每周所交代規定之作業</w:t>
            </w:r>
            <w:r w:rsidRPr="00D51AC0">
              <w:rPr>
                <w:rFonts w:ascii="Times New Roman" w:eastAsia="標楷體" w:hAnsi="Times New Roman" w:cs="Times New Roman"/>
                <w:color w:val="000000"/>
                <w:kern w:val="0"/>
                <w:szCs w:val="24"/>
              </w:rPr>
              <w:t>(Homework)</w:t>
            </w:r>
            <w:r w:rsidRPr="00D51AC0">
              <w:rPr>
                <w:rFonts w:ascii="Times New Roman" w:eastAsia="標楷體" w:hAnsi="Times New Roman" w:cs="Times New Roman"/>
                <w:color w:val="000000"/>
                <w:kern w:val="0"/>
                <w:szCs w:val="24"/>
              </w:rPr>
              <w:t>若未繳交</w:t>
            </w:r>
            <w:r w:rsidRPr="00D51AC0">
              <w:rPr>
                <w:rFonts w:ascii="Times New Roman" w:eastAsia="標楷體" w:hAnsi="Times New Roman" w:cs="Times New Roman"/>
                <w:color w:val="000000"/>
                <w:kern w:val="0"/>
                <w:szCs w:val="24"/>
              </w:rPr>
              <w:t xml:space="preserve"> (</w:t>
            </w:r>
            <w:r w:rsidRPr="00D51AC0">
              <w:rPr>
                <w:rFonts w:ascii="Times New Roman" w:eastAsia="標楷體" w:hAnsi="Times New Roman" w:cs="Times New Roman"/>
                <w:color w:val="000000"/>
                <w:kern w:val="0"/>
                <w:szCs w:val="24"/>
              </w:rPr>
              <w:t>包含未完成基本該有的進度和功能，亦視同未繳交；就算是當周缺席未到課，仍然得繳交當周所交代的作業</w:t>
            </w:r>
            <w:r w:rsidRPr="00D51AC0">
              <w:rPr>
                <w:rFonts w:ascii="Times New Roman" w:eastAsia="標楷體" w:hAnsi="Times New Roman" w:cs="Times New Roman"/>
                <w:color w:val="000000"/>
                <w:kern w:val="0"/>
                <w:szCs w:val="24"/>
              </w:rPr>
              <w:t>)</w:t>
            </w:r>
          </w:p>
          <w:p w:rsidR="00D51AC0" w:rsidRPr="00D51AC0" w:rsidRDefault="00D51AC0" w:rsidP="00D51AC0">
            <w:pPr>
              <w:widowControl/>
              <w:adjustRightInd w:val="0"/>
              <w:snapToGrid w:val="0"/>
              <w:spacing w:line="240" w:lineRule="atLeast"/>
              <w:ind w:left="397" w:hanging="397"/>
              <w:jc w:val="both"/>
              <w:rPr>
                <w:rFonts w:ascii="Times New Roman" w:eastAsia="標楷體" w:hAnsi="Times New Roman" w:cs="Times New Roman"/>
                <w:color w:val="000000"/>
                <w:kern w:val="0"/>
                <w:szCs w:val="24"/>
              </w:rPr>
            </w:pPr>
            <w:r w:rsidRPr="00D51AC0">
              <w:rPr>
                <w:rFonts w:ascii="Times New Roman" w:eastAsia="標楷體" w:hAnsi="Times New Roman" w:cs="Times New Roman"/>
                <w:color w:val="000000"/>
                <w:kern w:val="0"/>
                <w:szCs w:val="24"/>
              </w:rPr>
              <w:t>另外</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上課當中非經同意，嚴禁使用手機，只要每一次被發現使用手機，學期總成績即倒扣</w:t>
            </w:r>
            <w:r w:rsidRPr="00D51AC0">
              <w:rPr>
                <w:rFonts w:ascii="Times New Roman" w:eastAsia="標楷體" w:hAnsi="Times New Roman" w:cs="Times New Roman"/>
                <w:color w:val="000000"/>
                <w:kern w:val="0"/>
                <w:szCs w:val="24"/>
              </w:rPr>
              <w:t>1</w:t>
            </w:r>
            <w:r w:rsidRPr="00D51AC0">
              <w:rPr>
                <w:rFonts w:ascii="Times New Roman" w:eastAsia="標楷體" w:hAnsi="Times New Roman" w:cs="Times New Roman"/>
                <w:color w:val="000000"/>
                <w:kern w:val="0"/>
                <w:szCs w:val="24"/>
              </w:rPr>
              <w:t>分</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累扣制</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。更重要者，上課未帶規定的教科書者，則視同缺席</w:t>
            </w:r>
            <w:r w:rsidRPr="00D51AC0">
              <w:rPr>
                <w:rFonts w:ascii="Times New Roman" w:eastAsia="標楷體" w:hAnsi="Times New Roman" w:cs="Times New Roman"/>
                <w:color w:val="000000"/>
                <w:kern w:val="0"/>
                <w:szCs w:val="24"/>
              </w:rPr>
              <w:t>1</w:t>
            </w:r>
            <w:r w:rsidRPr="00D51AC0">
              <w:rPr>
                <w:rFonts w:ascii="Times New Roman" w:eastAsia="標楷體" w:hAnsi="Times New Roman" w:cs="Times New Roman"/>
                <w:color w:val="000000"/>
                <w:kern w:val="0"/>
                <w:szCs w:val="24"/>
              </w:rPr>
              <w:t>小時。</w:t>
            </w:r>
          </w:p>
          <w:p w:rsidR="00D51AC0" w:rsidRPr="00D51AC0" w:rsidRDefault="00D51AC0" w:rsidP="00D51AC0">
            <w:pPr>
              <w:widowControl/>
              <w:adjustRightInd w:val="0"/>
              <w:snapToGrid w:val="0"/>
              <w:spacing w:line="240" w:lineRule="atLeast"/>
              <w:jc w:val="both"/>
              <w:rPr>
                <w:rFonts w:ascii="Times New Roman" w:eastAsia="標楷體" w:hAnsi="Times New Roman" w:cs="Times New Roman"/>
                <w:b/>
                <w:color w:val="000000"/>
                <w:kern w:val="0"/>
                <w:szCs w:val="24"/>
              </w:rPr>
            </w:pPr>
            <w:r w:rsidRPr="00D51AC0">
              <w:rPr>
                <w:rFonts w:ascii="Times New Roman" w:eastAsia="標楷體" w:hAnsi="Times New Roman" w:cs="Times New Roman"/>
                <w:color w:val="000000"/>
                <w:kern w:val="0"/>
                <w:szCs w:val="24"/>
              </w:rPr>
              <w:t>曠課</w:t>
            </w:r>
            <w:r w:rsidRPr="00D51AC0">
              <w:rPr>
                <w:rFonts w:ascii="Times New Roman" w:eastAsia="標楷體" w:hAnsi="Times New Roman" w:cs="Times New Roman"/>
                <w:color w:val="000000"/>
                <w:kern w:val="0"/>
                <w:szCs w:val="24"/>
              </w:rPr>
              <w:t xml:space="preserve">12 </w:t>
            </w:r>
            <w:r w:rsidRPr="00D51AC0">
              <w:rPr>
                <w:rFonts w:ascii="Times New Roman" w:eastAsia="標楷體" w:hAnsi="Times New Roman" w:cs="Times New Roman"/>
                <w:color w:val="000000"/>
                <w:kern w:val="0"/>
                <w:szCs w:val="24"/>
              </w:rPr>
              <w:t>小時扣考</w:t>
            </w:r>
            <w:r w:rsidRPr="00D51AC0">
              <w:rPr>
                <w:rFonts w:ascii="Times New Roman" w:eastAsia="標楷體" w:hAnsi="Times New Roman" w:cs="Times New Roman"/>
                <w:color w:val="000000"/>
                <w:kern w:val="0"/>
                <w:szCs w:val="24"/>
              </w:rPr>
              <w:t xml:space="preserve"> (</w:t>
            </w:r>
            <w:r w:rsidRPr="00D51AC0">
              <w:rPr>
                <w:rFonts w:ascii="Times New Roman" w:eastAsia="標楷體" w:hAnsi="Times New Roman" w:cs="Times New Roman"/>
                <w:color w:val="000000"/>
                <w:kern w:val="0"/>
                <w:szCs w:val="24"/>
              </w:rPr>
              <w:t>以老師點名記錄為主，就算學校點名系統關閉之後的曠課時數也在計算在內</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w:t>
            </w:r>
          </w:p>
        </w:tc>
      </w:tr>
      <w:tr w:rsidR="00D51AC0" w:rsidRPr="00D51AC0" w:rsidTr="00D51AC0">
        <w:tc>
          <w:tcPr>
            <w:tcW w:w="1413" w:type="dxa"/>
          </w:tcPr>
          <w:p w:rsidR="00D51AC0" w:rsidRPr="00D51AC0" w:rsidRDefault="00D51AC0" w:rsidP="00D51AC0">
            <w:pPr>
              <w:jc w:val="center"/>
              <w:rPr>
                <w:rFonts w:ascii="Times New Roman" w:eastAsia="標楷體" w:hAnsi="Times New Roman" w:cs="Times New Roman"/>
                <w:b/>
                <w:sz w:val="20"/>
                <w:szCs w:val="20"/>
              </w:rPr>
            </w:pPr>
          </w:p>
        </w:tc>
        <w:tc>
          <w:tcPr>
            <w:tcW w:w="9043" w:type="dxa"/>
          </w:tcPr>
          <w:p w:rsidR="00D51AC0" w:rsidRPr="00D51AC0" w:rsidRDefault="00D51AC0" w:rsidP="00D51AC0">
            <w:pPr>
              <w:rPr>
                <w:rFonts w:ascii="Times New Roman" w:eastAsia="標楷體" w:hAnsi="Times New Roman" w:cs="Times New Roman"/>
                <w:szCs w:val="24"/>
              </w:rPr>
            </w:pPr>
          </w:p>
        </w:tc>
      </w:tr>
      <w:tr w:rsidR="00D51AC0" w:rsidRPr="00D51AC0" w:rsidTr="00D51AC0">
        <w:trPr>
          <w:trHeight w:val="585"/>
        </w:trPr>
        <w:tc>
          <w:tcPr>
            <w:tcW w:w="1413" w:type="dxa"/>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教科書與參考書目</w:t>
            </w:r>
            <w:r w:rsidRPr="00D51AC0">
              <w:rPr>
                <w:rFonts w:ascii="Times New Roman" w:eastAsia="標楷體" w:hAnsi="Times New Roman" w:cs="Times New Roman"/>
                <w:b/>
                <w:kern w:val="0"/>
                <w:sz w:val="20"/>
                <w:szCs w:val="20"/>
              </w:rPr>
              <w:br/>
              <w:t>Textbooks and References</w:t>
            </w:r>
          </w:p>
        </w:tc>
        <w:tc>
          <w:tcPr>
            <w:tcW w:w="9043" w:type="dxa"/>
          </w:tcPr>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r w:rsidRPr="00D51AC0">
              <w:rPr>
                <w:rFonts w:ascii="Times New Roman" w:eastAsia="標楷體" w:hAnsi="Times New Roman" w:cs="Times New Roman"/>
                <w:b/>
                <w:color w:val="000000"/>
                <w:kern w:val="0"/>
                <w:szCs w:val="24"/>
              </w:rPr>
              <w:t>Karl Beecher, Computational Thinking: A beginner’s guide to problem -solving and programming, BCS, Augest 2017.</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8" w:history="1">
              <w:r w:rsidRPr="00D51AC0">
                <w:rPr>
                  <w:rStyle w:val="a8"/>
                  <w:rFonts w:ascii="Times New Roman" w:eastAsia="標楷體" w:hAnsi="Times New Roman" w:cs="Times New Roman"/>
                  <w:b/>
                  <w:kern w:val="0"/>
                  <w:szCs w:val="24"/>
                </w:rPr>
                <w:t>https://computationalthinkingcourse.withgoogle.com/unit</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9" w:history="1">
              <w:r w:rsidRPr="00D51AC0">
                <w:rPr>
                  <w:rStyle w:val="a8"/>
                  <w:rFonts w:ascii="Times New Roman" w:eastAsia="標楷體" w:hAnsi="Times New Roman" w:cs="Times New Roman"/>
                  <w:b/>
                  <w:kern w:val="0"/>
                  <w:szCs w:val="24"/>
                </w:rPr>
                <w:t>https://arxiv.org/ftp/arxiv/papers/1703/1703.07659.pdf</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0" w:history="1">
              <w:r w:rsidRPr="00D51AC0">
                <w:rPr>
                  <w:rStyle w:val="a8"/>
                  <w:rFonts w:ascii="Times New Roman" w:eastAsia="標楷體" w:hAnsi="Times New Roman" w:cs="Times New Roman"/>
                  <w:b/>
                  <w:kern w:val="0"/>
                  <w:szCs w:val="24"/>
                </w:rPr>
                <w:t>https://sisu.ut.ee/sites/default/files/ict/files/ifip_proceedings.pdf</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1" w:history="1">
              <w:r w:rsidRPr="00D51AC0">
                <w:rPr>
                  <w:rStyle w:val="a8"/>
                  <w:rFonts w:ascii="Times New Roman" w:eastAsia="標楷體" w:hAnsi="Times New Roman" w:cs="Times New Roman"/>
                  <w:b/>
                  <w:kern w:val="0"/>
                  <w:szCs w:val="24"/>
                </w:rPr>
                <w:t>http://epublications.uef.fi/pub/urn_nbn_fi_uef-20180343/urn_nbn_fi_uef-20180343.pdf</w:t>
              </w:r>
            </w:hyperlink>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2" w:history="1">
              <w:r w:rsidRPr="00D51AC0">
                <w:rPr>
                  <w:rStyle w:val="a8"/>
                  <w:rFonts w:ascii="Times New Roman" w:eastAsia="標楷體" w:hAnsi="Times New Roman" w:cs="Times New Roman"/>
                  <w:b/>
                  <w:kern w:val="0"/>
                  <w:szCs w:val="24"/>
                </w:rPr>
                <w:t>https://www.mgmt.ucl.ac.uk/module/msin204p-computational-thinking</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3" w:history="1">
              <w:r w:rsidRPr="00D51AC0">
                <w:rPr>
                  <w:rStyle w:val="a8"/>
                  <w:rFonts w:ascii="Times New Roman" w:eastAsia="標楷體" w:hAnsi="Times New Roman" w:cs="Times New Roman"/>
                  <w:b/>
                  <w:kern w:val="0"/>
                  <w:szCs w:val="24"/>
                </w:rPr>
                <w:t>https://edu.google.com/resources/programs/exploring-computational-thinking/</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r w:rsidRPr="00D51AC0">
              <w:rPr>
                <w:rFonts w:ascii="Times New Roman" w:eastAsia="標楷體" w:hAnsi="Times New Roman" w:cs="Times New Roman"/>
                <w:b/>
                <w:color w:val="000000"/>
                <w:kern w:val="0"/>
                <w:szCs w:val="24"/>
                <w:lang w:val="en-GB"/>
              </w:rPr>
              <w:t>Jeanette Wing, `Computational Thinking’, Communications of the ACM, Vol 49, No. 3, pp 33-35, March 2006</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4" w:history="1">
              <w:r w:rsidRPr="00D51AC0">
                <w:rPr>
                  <w:rStyle w:val="a8"/>
                  <w:rFonts w:ascii="Times New Roman" w:eastAsia="標楷體" w:hAnsi="Times New Roman" w:cs="Times New Roman"/>
                  <w:b/>
                  <w:kern w:val="0"/>
                  <w:szCs w:val="24"/>
                  <w:lang w:val="en-GB"/>
                </w:rPr>
                <w:t>http://www.cs.cmu.edu/~wing/publications/Wing06.pdf</w:t>
              </w:r>
            </w:hyperlink>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r w:rsidRPr="00D51AC0">
              <w:rPr>
                <w:rFonts w:ascii="Times New Roman" w:eastAsia="標楷體" w:hAnsi="Times New Roman" w:cs="Times New Roman"/>
                <w:b/>
                <w:color w:val="000000"/>
                <w:kern w:val="0"/>
                <w:szCs w:val="24"/>
                <w:lang w:val="en-GB"/>
              </w:rPr>
              <w:lastRenderedPageBreak/>
              <w:t>Google, `Exploring Computational Thinking’</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5" w:history="1">
              <w:r w:rsidRPr="00D51AC0">
                <w:rPr>
                  <w:rStyle w:val="a8"/>
                  <w:rFonts w:ascii="Times New Roman" w:eastAsia="標楷體" w:hAnsi="Times New Roman" w:cs="Times New Roman"/>
                  <w:b/>
                  <w:kern w:val="0"/>
                  <w:szCs w:val="24"/>
                  <w:lang w:val="en-GB"/>
                </w:rPr>
                <w:t>http://www.google.com/edu/computational-thinking/</w:t>
              </w:r>
            </w:hyperlink>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r w:rsidRPr="00D51AC0">
              <w:rPr>
                <w:rFonts w:ascii="Times New Roman" w:eastAsia="標楷體" w:hAnsi="Times New Roman" w:cs="Times New Roman"/>
                <w:b/>
                <w:color w:val="000000"/>
                <w:kern w:val="0"/>
                <w:szCs w:val="24"/>
                <w:lang w:val="en-GB"/>
              </w:rPr>
              <w:t>Pat Phillips, `Computational Thinking: A Problem-Solving Tool for Every Classroom’, CSTA/Microsoft</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6" w:history="1">
              <w:r w:rsidRPr="00D51AC0">
                <w:rPr>
                  <w:rStyle w:val="a8"/>
                  <w:rFonts w:ascii="Times New Roman" w:eastAsia="標楷體" w:hAnsi="Times New Roman" w:cs="Times New Roman"/>
                  <w:b/>
                  <w:kern w:val="0"/>
                  <w:szCs w:val="24"/>
                  <w:lang w:val="en-GB"/>
                </w:rPr>
                <w:t>http://education.sdsc.edu/resources/CompThinking.pdf</w:t>
              </w:r>
            </w:hyperlink>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7" w:history="1">
              <w:r w:rsidRPr="00D51AC0">
                <w:rPr>
                  <w:rStyle w:val="a8"/>
                  <w:rFonts w:ascii="Times New Roman" w:eastAsia="標楷體" w:hAnsi="Times New Roman" w:cs="Times New Roman"/>
                  <w:b/>
                  <w:kern w:val="0"/>
                  <w:szCs w:val="24"/>
                  <w:lang w:val="en-GB"/>
                </w:rPr>
                <w:t>http://www.huevaluechroma.com/index.php</w:t>
              </w:r>
            </w:hyperlink>
            <w:r w:rsidRPr="00D51AC0">
              <w:rPr>
                <w:rFonts w:ascii="Times New Roman" w:eastAsia="標楷體" w:hAnsi="Times New Roman" w:cs="Times New Roman"/>
                <w:b/>
                <w:color w:val="000000"/>
                <w:kern w:val="0"/>
                <w:szCs w:val="24"/>
                <w:lang w:val="en-GB"/>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8" w:history="1">
              <w:r w:rsidRPr="00D51AC0">
                <w:rPr>
                  <w:rStyle w:val="a8"/>
                  <w:rFonts w:ascii="Times New Roman" w:eastAsia="標楷體" w:hAnsi="Times New Roman" w:cs="Times New Roman"/>
                  <w:b/>
                  <w:kern w:val="0"/>
                  <w:szCs w:val="24"/>
                </w:rPr>
                <w:t>https://www.wolfram.com/cdf-player/</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19" w:history="1">
              <w:r w:rsidRPr="00D51AC0">
                <w:rPr>
                  <w:rStyle w:val="a8"/>
                  <w:rFonts w:ascii="Times New Roman" w:eastAsia="標楷體" w:hAnsi="Times New Roman" w:cs="Times New Roman"/>
                  <w:b/>
                  <w:kern w:val="0"/>
                  <w:szCs w:val="24"/>
                </w:rPr>
                <w:t>http://education.wolfram.com/cdf-player-download.html</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20" w:history="1">
              <w:r w:rsidRPr="00D51AC0">
                <w:rPr>
                  <w:rStyle w:val="a8"/>
                  <w:rFonts w:ascii="Times New Roman" w:eastAsia="標楷體" w:hAnsi="Times New Roman" w:cs="Times New Roman"/>
                  <w:b/>
                  <w:kern w:val="0"/>
                  <w:szCs w:val="24"/>
                </w:rPr>
                <w:t>https://search.wolfram.com/?query=color</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21" w:history="1">
              <w:r w:rsidRPr="00D51AC0">
                <w:rPr>
                  <w:rStyle w:val="a8"/>
                  <w:rFonts w:ascii="Times New Roman" w:eastAsia="標楷體" w:hAnsi="Times New Roman" w:cs="Times New Roman"/>
                  <w:b/>
                  <w:kern w:val="0"/>
                  <w:szCs w:val="24"/>
                </w:rPr>
                <w:t>http://compthinking.csie.ntnu.edu.tw/index.php/document/39-2017-04-12-07-01-43</w:t>
              </w:r>
            </w:hyperlink>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22" w:history="1">
              <w:r w:rsidRPr="00D51AC0">
                <w:rPr>
                  <w:rStyle w:val="a8"/>
                  <w:rFonts w:ascii="Times New Roman" w:eastAsia="標楷體" w:hAnsi="Times New Roman" w:cs="Times New Roman"/>
                  <w:b/>
                  <w:kern w:val="0"/>
                  <w:szCs w:val="24"/>
                </w:rPr>
                <w:t>http://ossacc.moe.edu.tw/computational.php</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23" w:history="1">
              <w:r w:rsidRPr="00D51AC0">
                <w:rPr>
                  <w:rStyle w:val="a8"/>
                  <w:rFonts w:ascii="Times New Roman" w:eastAsia="標楷體" w:hAnsi="Times New Roman" w:cs="Times New Roman"/>
                  <w:b/>
                  <w:kern w:val="0"/>
                  <w:szCs w:val="24"/>
                </w:rPr>
                <w:t>https://sites.google.com/site/ccshademo/zhu-ti-jiao-xue/yun-suan-si-wei</w:t>
              </w:r>
            </w:hyperlink>
            <w:r w:rsidRPr="00D51AC0">
              <w:rPr>
                <w:rFonts w:ascii="Times New Roman" w:eastAsia="標楷體" w:hAnsi="Times New Roman" w:cs="Times New Roman"/>
                <w:b/>
                <w:color w:val="000000"/>
                <w:kern w:val="0"/>
                <w:szCs w:val="24"/>
              </w:rPr>
              <w:t xml:space="preserve"> </w:t>
            </w:r>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24" w:history="1">
              <w:r w:rsidRPr="00D51AC0">
                <w:rPr>
                  <w:rStyle w:val="a8"/>
                  <w:rFonts w:ascii="Times New Roman" w:eastAsia="標楷體" w:hAnsi="Times New Roman" w:cs="Times New Roman"/>
                  <w:b/>
                  <w:kern w:val="0"/>
                  <w:szCs w:val="24"/>
                </w:rPr>
                <w:t>http://blog.ilc.edu.tw/blog/index.php?op=printView&amp;articleId=660078&amp;blogId=1279</w:t>
              </w:r>
            </w:hyperlink>
          </w:p>
          <w:p w:rsidR="00D51AC0" w:rsidRPr="00D51AC0" w:rsidRDefault="00D51AC0" w:rsidP="00D51AC0">
            <w:pPr>
              <w:widowControl/>
              <w:numPr>
                <w:ilvl w:val="0"/>
                <w:numId w:val="1"/>
              </w:numPr>
              <w:adjustRightInd w:val="0"/>
              <w:snapToGrid w:val="0"/>
              <w:spacing w:line="240" w:lineRule="atLeast"/>
              <w:jc w:val="both"/>
              <w:rPr>
                <w:rFonts w:ascii="Times New Roman" w:eastAsia="標楷體" w:hAnsi="Times New Roman" w:cs="Times New Roman"/>
                <w:b/>
                <w:color w:val="000000"/>
                <w:kern w:val="0"/>
                <w:szCs w:val="24"/>
              </w:rPr>
            </w:pPr>
            <w:hyperlink r:id="rId25" w:history="1">
              <w:r w:rsidRPr="00D51AC0">
                <w:rPr>
                  <w:rStyle w:val="a8"/>
                  <w:rFonts w:ascii="Times New Roman" w:eastAsia="標楷體" w:hAnsi="Times New Roman" w:cs="Times New Roman"/>
                  <w:b/>
                  <w:kern w:val="0"/>
                  <w:szCs w:val="24"/>
                </w:rPr>
                <w:t>http://fg12.fg.tp.edu.tw/files/13-1002-4219.php?Lang=zh-tw</w:t>
              </w:r>
            </w:hyperlink>
            <w:r w:rsidRPr="00D51AC0">
              <w:rPr>
                <w:rFonts w:ascii="Times New Roman" w:eastAsia="標楷體" w:hAnsi="Times New Roman" w:cs="Times New Roman"/>
                <w:b/>
                <w:color w:val="000000"/>
                <w:kern w:val="0"/>
                <w:szCs w:val="24"/>
              </w:rPr>
              <w:t xml:space="preserve">  </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lastRenderedPageBreak/>
              <w:t>週次</w:t>
            </w:r>
            <w:r w:rsidRPr="00D51AC0">
              <w:rPr>
                <w:rFonts w:ascii="Times New Roman" w:eastAsia="標楷體" w:hAnsi="Times New Roman" w:cs="Times New Roman"/>
                <w:b/>
                <w:kern w:val="0"/>
                <w:sz w:val="20"/>
                <w:szCs w:val="20"/>
              </w:rPr>
              <w:br/>
              <w:t>Weeks</w:t>
            </w:r>
          </w:p>
        </w:tc>
        <w:tc>
          <w:tcPr>
            <w:tcW w:w="904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color w:val="800000"/>
                <w:kern w:val="0"/>
                <w:szCs w:val="24"/>
              </w:rPr>
            </w:pPr>
            <w:r w:rsidRPr="00D51AC0">
              <w:rPr>
                <w:rFonts w:ascii="Times New Roman" w:eastAsia="標楷體" w:hAnsi="Times New Roman" w:cs="Times New Roman"/>
                <w:b/>
                <w:color w:val="800000"/>
                <w:kern w:val="0"/>
                <w:szCs w:val="24"/>
              </w:rPr>
              <w:t>進度內容</w:t>
            </w:r>
            <w:r w:rsidRPr="00D51AC0">
              <w:rPr>
                <w:rFonts w:ascii="Times New Roman" w:eastAsia="標楷體" w:hAnsi="Times New Roman" w:cs="Times New Roman"/>
                <w:b/>
                <w:color w:val="800000"/>
                <w:kern w:val="0"/>
                <w:szCs w:val="24"/>
              </w:rPr>
              <w:t xml:space="preserve"> </w:t>
            </w:r>
            <w:r w:rsidRPr="00D51AC0">
              <w:rPr>
                <w:rFonts w:ascii="Times New Roman" w:eastAsia="標楷體" w:hAnsi="Times New Roman" w:cs="Times New Roman"/>
                <w:b/>
                <w:color w:val="800000"/>
                <w:kern w:val="0"/>
                <w:szCs w:val="24"/>
              </w:rPr>
              <w:br/>
              <w:t>Syllabus</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widowControl/>
              <w:adjustRightInd w:val="0"/>
              <w:snapToGrid w:val="0"/>
              <w:spacing w:line="240" w:lineRule="atLeast"/>
              <w:jc w:val="both"/>
              <w:rPr>
                <w:rFonts w:ascii="Times New Roman" w:eastAsia="標楷體" w:hAnsi="Times New Roman" w:cs="Times New Roman"/>
                <w:color w:val="000000"/>
                <w:kern w:val="0"/>
                <w:szCs w:val="24"/>
              </w:rPr>
            </w:pPr>
            <w:r w:rsidRPr="00D51AC0">
              <w:rPr>
                <w:rFonts w:ascii="Times New Roman" w:eastAsia="標楷體" w:hAnsi="Times New Roman" w:cs="Times New Roman"/>
                <w:color w:val="000000"/>
                <w:szCs w:val="24"/>
              </w:rPr>
              <w:t>運算思維與程式設計課綱介紹</w:t>
            </w:r>
            <w:r w:rsidRPr="00D51AC0">
              <w:rPr>
                <w:rFonts w:ascii="Times New Roman" w:eastAsia="標楷體" w:hAnsi="Times New Roman" w:cs="Times New Roman"/>
                <w:color w:val="000000"/>
                <w:szCs w:val="24"/>
              </w:rPr>
              <w:t>(Introducing Computational Thinking and Coding)</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2</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widowControl/>
              <w:adjustRightInd w:val="0"/>
              <w:snapToGrid w:val="0"/>
              <w:spacing w:line="240" w:lineRule="atLeast"/>
              <w:jc w:val="both"/>
              <w:rPr>
                <w:rFonts w:ascii="Times New Roman" w:eastAsia="標楷體" w:hAnsi="Times New Roman" w:cs="Times New Roman"/>
                <w:color w:val="000000"/>
                <w:kern w:val="0"/>
                <w:szCs w:val="24"/>
              </w:rPr>
            </w:pPr>
            <w:r w:rsidRPr="00D51AC0">
              <w:rPr>
                <w:rFonts w:ascii="Times New Roman" w:eastAsia="標楷體" w:hAnsi="Times New Roman" w:cs="Times New Roman"/>
                <w:color w:val="000000"/>
                <w:kern w:val="0"/>
                <w:szCs w:val="24"/>
              </w:rPr>
              <w:t>資訊科技主題</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物聯網與生活應用</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3</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kern w:val="0"/>
                <w:szCs w:val="24"/>
              </w:rPr>
              <w:t>資訊科技主題</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szCs w:val="24"/>
              </w:rPr>
              <w:t>3D</w:t>
            </w:r>
            <w:r w:rsidRPr="00D51AC0">
              <w:rPr>
                <w:rFonts w:ascii="Times New Roman" w:eastAsia="標楷體" w:hAnsi="Times New Roman" w:cs="Times New Roman"/>
                <w:color w:val="000000"/>
                <w:szCs w:val="24"/>
              </w:rPr>
              <w:t>列印</w:t>
            </w:r>
            <w:bookmarkStart w:id="0" w:name="_GoBack"/>
            <w:bookmarkEnd w:id="0"/>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4</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kern w:val="0"/>
                <w:szCs w:val="24"/>
              </w:rPr>
              <w:t>資訊科技主題</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szCs w:val="24"/>
              </w:rPr>
              <w:t>Wearable Devices</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5</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kern w:val="0"/>
                <w:szCs w:val="24"/>
              </w:rPr>
              <w:t>資訊科技主題</w:t>
            </w:r>
            <w:r w:rsidRPr="00D51AC0">
              <w:rPr>
                <w:rFonts w:ascii="Times New Roman" w:eastAsia="標楷體" w:hAnsi="Times New Roman" w:cs="Times New Roman"/>
                <w:color w:val="000000"/>
                <w:kern w:val="0"/>
                <w:szCs w:val="24"/>
              </w:rPr>
              <w:t>─AR</w:t>
            </w:r>
            <w:r w:rsidRPr="00D51AC0">
              <w:rPr>
                <w:rFonts w:ascii="Times New Roman" w:eastAsia="標楷體" w:hAnsi="Times New Roman" w:cs="Times New Roman"/>
                <w:color w:val="000000"/>
                <w:kern w:val="0"/>
                <w:szCs w:val="24"/>
              </w:rPr>
              <w:t>、</w:t>
            </w:r>
            <w:r w:rsidRPr="00D51AC0">
              <w:rPr>
                <w:rFonts w:ascii="Times New Roman" w:eastAsia="標楷體" w:hAnsi="Times New Roman" w:cs="Times New Roman"/>
                <w:color w:val="000000"/>
                <w:kern w:val="0"/>
                <w:szCs w:val="24"/>
              </w:rPr>
              <w:t>VR</w:t>
            </w:r>
            <w:r w:rsidRPr="00D51AC0">
              <w:rPr>
                <w:rFonts w:ascii="Times New Roman" w:eastAsia="標楷體" w:hAnsi="Times New Roman" w:cs="Times New Roman"/>
                <w:color w:val="000000"/>
                <w:kern w:val="0"/>
                <w:szCs w:val="24"/>
              </w:rPr>
              <w:t>和</w:t>
            </w:r>
            <w:r w:rsidRPr="00D51AC0">
              <w:rPr>
                <w:rFonts w:ascii="Times New Roman" w:eastAsia="標楷體" w:hAnsi="Times New Roman" w:cs="Times New Roman"/>
                <w:color w:val="000000"/>
                <w:kern w:val="0"/>
                <w:szCs w:val="24"/>
              </w:rPr>
              <w:t>MR</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6</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運算思維</w:t>
            </w:r>
            <w:r w:rsidRPr="00D51AC0">
              <w:rPr>
                <w:rFonts w:ascii="Times New Roman" w:eastAsia="標楷體" w:hAnsi="Times New Roman" w:cs="Times New Roman"/>
                <w:color w:val="000000"/>
                <w:szCs w:val="24"/>
              </w:rPr>
              <w:t>I─</w:t>
            </w:r>
            <w:r w:rsidRPr="00D51AC0">
              <w:rPr>
                <w:rFonts w:ascii="Times New Roman" w:eastAsia="標楷體" w:hAnsi="Times New Roman" w:cs="Times New Roman"/>
                <w:color w:val="000000"/>
                <w:szCs w:val="24"/>
              </w:rPr>
              <w:t>程式設計邏輯</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7</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運算思維</w:t>
            </w:r>
            <w:r w:rsidRPr="00D51AC0">
              <w:rPr>
                <w:rFonts w:ascii="Times New Roman" w:eastAsia="標楷體" w:hAnsi="Times New Roman" w:cs="Times New Roman"/>
                <w:color w:val="000000"/>
                <w:szCs w:val="24"/>
              </w:rPr>
              <w:t>II─</w:t>
            </w:r>
            <w:r w:rsidRPr="00D51AC0">
              <w:rPr>
                <w:rFonts w:ascii="Times New Roman" w:eastAsia="標楷體" w:hAnsi="Times New Roman" w:cs="Times New Roman"/>
                <w:color w:val="000000"/>
                <w:szCs w:val="24"/>
              </w:rPr>
              <w:t>偵探世界的運算思維</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8</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運算思維</w:t>
            </w:r>
            <w:r w:rsidRPr="00D51AC0">
              <w:rPr>
                <w:rFonts w:ascii="Times New Roman" w:eastAsia="標楷體" w:hAnsi="Times New Roman" w:cs="Times New Roman"/>
                <w:color w:val="000000"/>
                <w:szCs w:val="24"/>
              </w:rPr>
              <w:t>III─</w:t>
            </w:r>
            <w:r w:rsidRPr="00D51AC0">
              <w:rPr>
                <w:rFonts w:ascii="Times New Roman" w:eastAsia="標楷體" w:hAnsi="Times New Roman" w:cs="Times New Roman"/>
                <w:color w:val="000000"/>
                <w:szCs w:val="24"/>
              </w:rPr>
              <w:t>呼朋喚友玩桌遊</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9</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運算思維</w:t>
            </w:r>
            <w:r w:rsidRPr="00D51AC0">
              <w:rPr>
                <w:rFonts w:ascii="Times New Roman" w:eastAsia="標楷體" w:hAnsi="Times New Roman" w:cs="Times New Roman"/>
                <w:color w:val="000000"/>
                <w:szCs w:val="24"/>
              </w:rPr>
              <w:t>IV─</w:t>
            </w:r>
            <w:r w:rsidRPr="00D51AC0">
              <w:rPr>
                <w:rFonts w:ascii="Times New Roman" w:eastAsia="標楷體" w:hAnsi="Times New Roman" w:cs="Times New Roman"/>
                <w:color w:val="000000"/>
                <w:szCs w:val="24"/>
              </w:rPr>
              <w:t>魔術中的邏輯</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10</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運算思維</w:t>
            </w:r>
            <w:r w:rsidRPr="00D51AC0">
              <w:rPr>
                <w:rFonts w:ascii="Times New Roman" w:eastAsia="標楷體" w:hAnsi="Times New Roman" w:cs="Times New Roman"/>
                <w:color w:val="000000"/>
                <w:szCs w:val="24"/>
              </w:rPr>
              <w:t>V─</w:t>
            </w:r>
            <w:r w:rsidRPr="00D51AC0">
              <w:rPr>
                <w:rFonts w:ascii="Times New Roman" w:eastAsia="標楷體" w:hAnsi="Times New Roman" w:cs="Times New Roman"/>
                <w:color w:val="000000"/>
                <w:szCs w:val="24"/>
              </w:rPr>
              <w:t>運算思維析理推論</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11</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運算思維</w:t>
            </w:r>
            <w:r w:rsidRPr="00D51AC0">
              <w:rPr>
                <w:rFonts w:ascii="Times New Roman" w:eastAsia="標楷體" w:hAnsi="Times New Roman" w:cs="Times New Roman"/>
                <w:color w:val="000000"/>
                <w:szCs w:val="24"/>
              </w:rPr>
              <w:t>VI─</w:t>
            </w:r>
            <w:r w:rsidRPr="00D51AC0">
              <w:rPr>
                <w:rFonts w:ascii="Times New Roman" w:eastAsia="標楷體" w:hAnsi="Times New Roman" w:cs="Times New Roman"/>
                <w:color w:val="000000"/>
                <w:szCs w:val="24"/>
              </w:rPr>
              <w:t>問題減少、削減與搜尋策略</w:t>
            </w:r>
            <w:r w:rsidRPr="00D51AC0">
              <w:rPr>
                <w:rFonts w:ascii="Times New Roman" w:eastAsia="標楷體" w:hAnsi="Times New Roman" w:cs="Times New Roman"/>
                <w:color w:val="000000"/>
                <w:szCs w:val="24"/>
              </w:rPr>
              <w:t>(Problem Reduction &amp; Prune-and-Search Strategy)</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12</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運算思維</w:t>
            </w:r>
            <w:r w:rsidRPr="00D51AC0">
              <w:rPr>
                <w:rFonts w:ascii="Times New Roman" w:eastAsia="標楷體" w:hAnsi="Times New Roman" w:cs="Times New Roman"/>
                <w:color w:val="000000"/>
                <w:szCs w:val="24"/>
              </w:rPr>
              <w:t>VII─</w:t>
            </w:r>
            <w:r w:rsidRPr="00D51AC0">
              <w:rPr>
                <w:rFonts w:ascii="Times New Roman" w:eastAsia="標楷體" w:hAnsi="Times New Roman" w:cs="Times New Roman"/>
                <w:color w:val="000000"/>
                <w:szCs w:val="24"/>
              </w:rPr>
              <w:t>色光混合和色彩配色計劃</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13</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aps/>
                <w:color w:val="000000"/>
                <w:szCs w:val="24"/>
              </w:rPr>
            </w:pPr>
            <w:r w:rsidRPr="00D51AC0">
              <w:rPr>
                <w:rFonts w:ascii="Times New Roman" w:eastAsia="標楷體" w:hAnsi="Times New Roman" w:cs="Times New Roman"/>
                <w:color w:val="000000"/>
                <w:szCs w:val="24"/>
              </w:rPr>
              <w:t>程式設計</w:t>
            </w:r>
            <w:r w:rsidRPr="00D51AC0">
              <w:rPr>
                <w:rFonts w:ascii="Times New Roman" w:eastAsia="標楷體" w:hAnsi="Times New Roman" w:cs="Times New Roman"/>
                <w:color w:val="000000"/>
                <w:szCs w:val="24"/>
              </w:rPr>
              <w:t>Lab I─Regression &amp; Lab_II─WordCloud</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14</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程式設計</w:t>
            </w:r>
            <w:r w:rsidRPr="00D51AC0">
              <w:rPr>
                <w:rFonts w:ascii="Times New Roman" w:eastAsia="標楷體" w:hAnsi="Times New Roman" w:cs="Times New Roman"/>
                <w:color w:val="000000"/>
                <w:szCs w:val="24"/>
              </w:rPr>
              <w:t>Lab_III─mageProcessing</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15</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程式設計</w:t>
            </w:r>
            <w:r w:rsidRPr="00D51AC0">
              <w:rPr>
                <w:rFonts w:ascii="Times New Roman" w:eastAsia="標楷體" w:hAnsi="Times New Roman" w:cs="Times New Roman"/>
                <w:color w:val="000000"/>
                <w:szCs w:val="24"/>
              </w:rPr>
              <w:t>Lab_IV─GIS &amp; Lab_V─NLP</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16</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程式設計</w:t>
            </w:r>
            <w:r w:rsidRPr="00D51AC0">
              <w:rPr>
                <w:rFonts w:ascii="Times New Roman" w:eastAsia="標楷體" w:hAnsi="Times New Roman" w:cs="Times New Roman"/>
                <w:color w:val="000000"/>
                <w:szCs w:val="24"/>
              </w:rPr>
              <w:t>Lab_VI─RandomGame</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t>第</w:t>
            </w:r>
            <w:r w:rsidRPr="00D51AC0">
              <w:rPr>
                <w:rFonts w:ascii="Times New Roman" w:eastAsia="標楷體" w:hAnsi="Times New Roman" w:cs="Times New Roman"/>
                <w:b/>
                <w:kern w:val="0"/>
                <w:sz w:val="20"/>
                <w:szCs w:val="20"/>
              </w:rPr>
              <w:t>17</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程式設計</w:t>
            </w:r>
            <w:r w:rsidRPr="00D51AC0">
              <w:rPr>
                <w:rFonts w:ascii="Times New Roman" w:eastAsia="標楷體" w:hAnsi="Times New Roman" w:cs="Times New Roman"/>
                <w:color w:val="000000"/>
                <w:szCs w:val="24"/>
              </w:rPr>
              <w:t>Lab_VII─RandomFigure</w:t>
            </w:r>
          </w:p>
        </w:tc>
      </w:tr>
      <w:tr w:rsidR="00D51AC0" w:rsidRPr="00D51AC0" w:rsidTr="00D51AC0">
        <w:trPr>
          <w:trHeight w:val="585"/>
        </w:trPr>
        <w:tc>
          <w:tcPr>
            <w:tcW w:w="1413" w:type="dxa"/>
            <w:vAlign w:val="center"/>
          </w:tcPr>
          <w:p w:rsidR="00D51AC0" w:rsidRPr="00D51AC0" w:rsidRDefault="00D51AC0" w:rsidP="00D51AC0">
            <w:pPr>
              <w:widowControl/>
              <w:adjustRightInd w:val="0"/>
              <w:snapToGrid w:val="0"/>
              <w:spacing w:line="240" w:lineRule="atLeast"/>
              <w:jc w:val="center"/>
              <w:rPr>
                <w:rFonts w:ascii="Times New Roman" w:eastAsia="標楷體" w:hAnsi="Times New Roman" w:cs="Times New Roman"/>
                <w:b/>
                <w:kern w:val="0"/>
                <w:sz w:val="20"/>
                <w:szCs w:val="20"/>
              </w:rPr>
            </w:pPr>
            <w:r w:rsidRPr="00D51AC0">
              <w:rPr>
                <w:rFonts w:ascii="Times New Roman" w:eastAsia="標楷體" w:hAnsi="Times New Roman" w:cs="Times New Roman"/>
                <w:b/>
                <w:kern w:val="0"/>
                <w:sz w:val="20"/>
                <w:szCs w:val="20"/>
              </w:rPr>
              <w:lastRenderedPageBreak/>
              <w:t>第</w:t>
            </w:r>
            <w:r w:rsidRPr="00D51AC0">
              <w:rPr>
                <w:rFonts w:ascii="Times New Roman" w:eastAsia="標楷體" w:hAnsi="Times New Roman" w:cs="Times New Roman"/>
                <w:b/>
                <w:kern w:val="0"/>
                <w:sz w:val="20"/>
                <w:szCs w:val="20"/>
              </w:rPr>
              <w:t>18</w:t>
            </w:r>
            <w:r w:rsidRPr="00D51AC0">
              <w:rPr>
                <w:rFonts w:ascii="Times New Roman" w:eastAsia="標楷體" w:hAnsi="Times New Roman" w:cs="Times New Roman"/>
                <w:b/>
                <w:kern w:val="0"/>
                <w:sz w:val="20"/>
                <w:szCs w:val="20"/>
              </w:rPr>
              <w:t>週</w:t>
            </w:r>
          </w:p>
        </w:tc>
        <w:tc>
          <w:tcPr>
            <w:tcW w:w="9043" w:type="dxa"/>
            <w:vAlign w:val="center"/>
          </w:tcPr>
          <w:p w:rsidR="00D51AC0" w:rsidRPr="00D51AC0" w:rsidRDefault="00D51AC0" w:rsidP="00D51AC0">
            <w:pPr>
              <w:jc w:val="both"/>
              <w:rPr>
                <w:rFonts w:ascii="Times New Roman" w:eastAsia="標楷體" w:hAnsi="Times New Roman" w:cs="Times New Roman"/>
                <w:color w:val="000000"/>
                <w:szCs w:val="24"/>
              </w:rPr>
            </w:pPr>
            <w:r w:rsidRPr="00D51AC0">
              <w:rPr>
                <w:rFonts w:ascii="Times New Roman" w:eastAsia="標楷體" w:hAnsi="Times New Roman" w:cs="Times New Roman"/>
                <w:color w:val="000000"/>
                <w:szCs w:val="24"/>
              </w:rPr>
              <w:t>Final-Exam (Project)</w:t>
            </w:r>
          </w:p>
        </w:tc>
      </w:tr>
    </w:tbl>
    <w:p w:rsidR="00D51AC0" w:rsidRPr="00D51AC0" w:rsidRDefault="00D51AC0">
      <w:pPr>
        <w:rPr>
          <w:rFonts w:ascii="Times New Roman" w:eastAsia="標楷體" w:hAnsi="Times New Roman" w:cs="Times New Roman"/>
        </w:rPr>
      </w:pPr>
    </w:p>
    <w:sectPr w:rsidR="00D51AC0" w:rsidRPr="00D51AC0" w:rsidSect="00D51A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064" w:rsidRDefault="00973064" w:rsidP="00D51AC0">
      <w:r>
        <w:separator/>
      </w:r>
    </w:p>
  </w:endnote>
  <w:endnote w:type="continuationSeparator" w:id="0">
    <w:p w:rsidR="00973064" w:rsidRDefault="00973064" w:rsidP="00D5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064" w:rsidRDefault="00973064" w:rsidP="00D51AC0">
      <w:r>
        <w:separator/>
      </w:r>
    </w:p>
  </w:footnote>
  <w:footnote w:type="continuationSeparator" w:id="0">
    <w:p w:rsidR="00973064" w:rsidRDefault="00973064" w:rsidP="00D51A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33C4"/>
    <w:multiLevelType w:val="hybridMultilevel"/>
    <w:tmpl w:val="E69C729A"/>
    <w:lvl w:ilvl="0" w:tplc="147657E2">
      <w:start w:val="1"/>
      <w:numFmt w:val="decimal"/>
      <w:lvlText w:val="%1."/>
      <w:lvlJc w:val="left"/>
      <w:pPr>
        <w:ind w:left="360" w:hanging="360"/>
      </w:pPr>
      <w:rPr>
        <w:rFonts w:ascii="Georgia" w:eastAsia="新細明體" w:hAnsi="Georgia" w:cs="Times New Roman" w:hint="default"/>
        <w:color w:val="252525"/>
        <w:sz w:val="1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C5"/>
    <w:rsid w:val="00324FCC"/>
    <w:rsid w:val="004C4C7A"/>
    <w:rsid w:val="00973064"/>
    <w:rsid w:val="00D51AC0"/>
    <w:rsid w:val="00F54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A0FE"/>
  <w15:chartTrackingRefBased/>
  <w15:docId w15:val="{AFFC928F-89AF-4EF2-9BBB-538A7CF4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AC0"/>
    <w:pPr>
      <w:tabs>
        <w:tab w:val="center" w:pos="4153"/>
        <w:tab w:val="right" w:pos="8306"/>
      </w:tabs>
      <w:snapToGrid w:val="0"/>
    </w:pPr>
    <w:rPr>
      <w:sz w:val="20"/>
      <w:szCs w:val="20"/>
    </w:rPr>
  </w:style>
  <w:style w:type="character" w:customStyle="1" w:styleId="a4">
    <w:name w:val="頁首 字元"/>
    <w:basedOn w:val="a0"/>
    <w:link w:val="a3"/>
    <w:uiPriority w:val="99"/>
    <w:rsid w:val="00D51AC0"/>
    <w:rPr>
      <w:sz w:val="20"/>
      <w:szCs w:val="20"/>
    </w:rPr>
  </w:style>
  <w:style w:type="paragraph" w:styleId="a5">
    <w:name w:val="footer"/>
    <w:basedOn w:val="a"/>
    <w:link w:val="a6"/>
    <w:uiPriority w:val="99"/>
    <w:unhideWhenUsed/>
    <w:rsid w:val="00D51AC0"/>
    <w:pPr>
      <w:tabs>
        <w:tab w:val="center" w:pos="4153"/>
        <w:tab w:val="right" w:pos="8306"/>
      </w:tabs>
      <w:snapToGrid w:val="0"/>
    </w:pPr>
    <w:rPr>
      <w:sz w:val="20"/>
      <w:szCs w:val="20"/>
    </w:rPr>
  </w:style>
  <w:style w:type="character" w:customStyle="1" w:styleId="a6">
    <w:name w:val="頁尾 字元"/>
    <w:basedOn w:val="a0"/>
    <w:link w:val="a5"/>
    <w:uiPriority w:val="99"/>
    <w:rsid w:val="00D51AC0"/>
    <w:rPr>
      <w:sz w:val="20"/>
      <w:szCs w:val="20"/>
    </w:rPr>
  </w:style>
  <w:style w:type="table" w:styleId="a7">
    <w:name w:val="Table Grid"/>
    <w:basedOn w:val="a1"/>
    <w:uiPriority w:val="39"/>
    <w:rsid w:val="00D5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51A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utationalthinkingcourse.withgoogle.com/unit" TargetMode="External"/><Relationship Id="rId13" Type="http://schemas.openxmlformats.org/officeDocument/2006/relationships/hyperlink" Target="https://edu.google.com/resources/programs/exploring-computational-thinking/" TargetMode="External"/><Relationship Id="rId18" Type="http://schemas.openxmlformats.org/officeDocument/2006/relationships/hyperlink" Target="https://www.wolfram.com/cdf-play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mpthinking.csie.ntnu.edu.tw/index.php/document/39-2017-04-12-07-01-43" TargetMode="External"/><Relationship Id="rId7" Type="http://schemas.openxmlformats.org/officeDocument/2006/relationships/endnotes" Target="endnotes.xml"/><Relationship Id="rId12" Type="http://schemas.openxmlformats.org/officeDocument/2006/relationships/hyperlink" Target="https://www.mgmt.ucl.ac.uk/module/msin204p-computational-thinking" TargetMode="External"/><Relationship Id="rId17" Type="http://schemas.openxmlformats.org/officeDocument/2006/relationships/hyperlink" Target="http://www.huevaluechroma.com/index.php" TargetMode="External"/><Relationship Id="rId25" Type="http://schemas.openxmlformats.org/officeDocument/2006/relationships/hyperlink" Target="http://fg12.fg.tp.edu.tw/files/13-1002-4219.php?Lang=zh-tw" TargetMode="External"/><Relationship Id="rId2" Type="http://schemas.openxmlformats.org/officeDocument/2006/relationships/numbering" Target="numbering.xml"/><Relationship Id="rId16" Type="http://schemas.openxmlformats.org/officeDocument/2006/relationships/hyperlink" Target="http://education.sdsc.edu/resources/CompThinking.pdf" TargetMode="External"/><Relationship Id="rId20" Type="http://schemas.openxmlformats.org/officeDocument/2006/relationships/hyperlink" Target="https://search.wolfram.com/?query=col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ublications.uef.fi/pub/urn_nbn_fi_uef-20180343/urn_nbn_fi_uef-20180343.pdf" TargetMode="External"/><Relationship Id="rId24" Type="http://schemas.openxmlformats.org/officeDocument/2006/relationships/hyperlink" Target="http://blog.ilc.edu.tw/blog/index.php?op=printView&amp;articleId=660078&amp;blogId=1279" TargetMode="External"/><Relationship Id="rId5" Type="http://schemas.openxmlformats.org/officeDocument/2006/relationships/webSettings" Target="webSettings.xml"/><Relationship Id="rId15" Type="http://schemas.openxmlformats.org/officeDocument/2006/relationships/hyperlink" Target="http://www.google.com/edu/computational-thinking/" TargetMode="External"/><Relationship Id="rId23" Type="http://schemas.openxmlformats.org/officeDocument/2006/relationships/hyperlink" Target="https://sites.google.com/site/ccshademo/zhu-ti-jiao-xue/yun-suan-si-wei" TargetMode="External"/><Relationship Id="rId10" Type="http://schemas.openxmlformats.org/officeDocument/2006/relationships/hyperlink" Target="https://sisu.ut.ee/sites/default/files/ict/files/ifip_proceedings.pdf" TargetMode="External"/><Relationship Id="rId19" Type="http://schemas.openxmlformats.org/officeDocument/2006/relationships/hyperlink" Target="http://education.wolfram.com/cdf-player-download.html" TargetMode="External"/><Relationship Id="rId4" Type="http://schemas.openxmlformats.org/officeDocument/2006/relationships/settings" Target="settings.xml"/><Relationship Id="rId9" Type="http://schemas.openxmlformats.org/officeDocument/2006/relationships/hyperlink" Target="https://arxiv.org/ftp/arxiv/papers/1703/1703.07659.pdf" TargetMode="External"/><Relationship Id="rId14" Type="http://schemas.openxmlformats.org/officeDocument/2006/relationships/hyperlink" Target="http://www.cs.cmu.edu/~wing/publications/Wing06.pdf" TargetMode="External"/><Relationship Id="rId22" Type="http://schemas.openxmlformats.org/officeDocument/2006/relationships/hyperlink" Target="http://ossacc.moe.edu.tw/computational.php"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77598-90E7-4B4C-8F9F-38B35C81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shuim</dc:creator>
  <cp:keywords/>
  <dc:description/>
  <cp:lastModifiedBy>shuim</cp:lastModifiedBy>
  <cp:revision>2</cp:revision>
  <dcterms:created xsi:type="dcterms:W3CDTF">2018-07-02T08:14:00Z</dcterms:created>
  <dcterms:modified xsi:type="dcterms:W3CDTF">2018-07-02T08:19:00Z</dcterms:modified>
</cp:coreProperties>
</file>